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55DC2" w14:textId="3CD2A0AC" w:rsidR="0095315A" w:rsidRPr="00F24275" w:rsidRDefault="09424C7C" w:rsidP="09424C7C">
      <w:pPr>
        <w:autoSpaceDE w:val="0"/>
        <w:autoSpaceDN w:val="0"/>
        <w:adjustRightInd w:val="0"/>
        <w:rPr>
          <w:rFonts w:ascii="Arial" w:eastAsia="Arial" w:hAnsi="Arial" w:cs="Arial"/>
          <w:b w:val="0"/>
          <w:lang w:eastAsia="fr-FR"/>
        </w:rPr>
      </w:pPr>
      <w:bookmarkStart w:id="0" w:name="Annexe_2RC"/>
      <w:r w:rsidRPr="09424C7C">
        <w:rPr>
          <w:rFonts w:ascii="Arial" w:eastAsia="Arial" w:hAnsi="Arial" w:cs="Arial"/>
          <w:lang w:eastAsia="fr-FR"/>
        </w:rPr>
        <w:t>PRÉSENTATION DE LA CARTE D’ACHAT DANS LES MARCHES PUBLICS (NIVEAU 3)</w:t>
      </w:r>
    </w:p>
    <w:p w14:paraId="276ACEDE" w14:textId="77777777" w:rsidR="0095315A" w:rsidRPr="00F24275" w:rsidRDefault="0095315A" w:rsidP="09424C7C">
      <w:pPr>
        <w:autoSpaceDE w:val="0"/>
        <w:autoSpaceDN w:val="0"/>
        <w:adjustRightInd w:val="0"/>
        <w:rPr>
          <w:rFonts w:ascii="Arial" w:eastAsia="Arial" w:hAnsi="Arial" w:cs="Arial"/>
          <w:b w:val="0"/>
          <w:sz w:val="20"/>
          <w:szCs w:val="20"/>
          <w:lang w:eastAsia="fr-FR"/>
        </w:rPr>
      </w:pPr>
    </w:p>
    <w:p w14:paraId="478EE9FF" w14:textId="2C94F365" w:rsidR="0095315A" w:rsidRPr="004F61DA" w:rsidRDefault="09424C7C" w:rsidP="09424C7C">
      <w:pPr>
        <w:spacing w:after="60"/>
        <w:jc w:val="both"/>
        <w:rPr>
          <w:rFonts w:ascii="Arial" w:eastAsia="Arial" w:hAnsi="Arial" w:cs="Arial"/>
          <w:b w:val="0"/>
          <w:sz w:val="22"/>
        </w:rPr>
      </w:pPr>
      <w:r w:rsidRPr="09424C7C">
        <w:rPr>
          <w:rFonts w:ascii="Arial" w:eastAsia="Arial" w:hAnsi="Arial" w:cs="Arial"/>
          <w:b w:val="0"/>
          <w:sz w:val="22"/>
        </w:rPr>
        <w:t>La carte d’achat de niveau 3 est un outil de commande et de paiement qui, une fois accepté par le titulaire d'un marché public (soit par le biais d'un avenant, soit dès la signature de l'acte d'engagement), permet d'exécuter ces opérations par voie dématérialisée.</w:t>
      </w:r>
    </w:p>
    <w:p w14:paraId="4B634C1B" w14:textId="17637375" w:rsidR="004F61DA" w:rsidRPr="004F61DA" w:rsidRDefault="09424C7C" w:rsidP="09424C7C">
      <w:pPr>
        <w:spacing w:after="60"/>
        <w:jc w:val="both"/>
        <w:rPr>
          <w:rFonts w:ascii="Arial" w:eastAsia="Arial" w:hAnsi="Arial" w:cs="Arial"/>
          <w:b w:val="0"/>
          <w:sz w:val="22"/>
        </w:rPr>
      </w:pPr>
      <w:r w:rsidRPr="09424C7C">
        <w:rPr>
          <w:rFonts w:ascii="Arial" w:eastAsia="Arial" w:hAnsi="Arial" w:cs="Arial"/>
          <w:b w:val="0"/>
          <w:sz w:val="22"/>
        </w:rPr>
        <w:t xml:space="preserve">La BNP Paribas est titulaire du marché d’acquisition de cartes d’achat passé par le Ministère des armées. A ce titre, elle délivre les cartes bancaires aux agents désignés par l'administration pour les utiliser (porteurs de carte), et paie les fournisseurs qui acceptent ce mode de paiement. La BNP Paribas est ensuite remboursée par l’administration. </w:t>
      </w:r>
    </w:p>
    <w:p w14:paraId="7C44CDA7" w14:textId="4D9A554C" w:rsidR="0095315A" w:rsidRDefault="0095315A" w:rsidP="09424C7C">
      <w:pPr>
        <w:spacing w:after="60"/>
        <w:jc w:val="both"/>
        <w:rPr>
          <w:rFonts w:ascii="Arial" w:eastAsia="Arial" w:hAnsi="Arial" w:cs="Arial"/>
          <w:b w:val="0"/>
          <w:sz w:val="22"/>
        </w:rPr>
      </w:pPr>
    </w:p>
    <w:p w14:paraId="34C7165B" w14:textId="77777777" w:rsidR="004F61DA" w:rsidRPr="004F61DA" w:rsidRDefault="004F61DA" w:rsidP="09424C7C">
      <w:pPr>
        <w:spacing w:after="60"/>
        <w:jc w:val="both"/>
        <w:rPr>
          <w:rFonts w:ascii="Arial" w:eastAsia="Arial" w:hAnsi="Arial" w:cs="Arial"/>
          <w:b w:val="0"/>
          <w:sz w:val="22"/>
        </w:rPr>
      </w:pPr>
      <w:bookmarkStart w:id="1" w:name="_GoBack"/>
      <w:bookmarkEnd w:id="1"/>
    </w:p>
    <w:p w14:paraId="76926C16" w14:textId="77777777" w:rsidR="0095315A" w:rsidRPr="004F61DA" w:rsidRDefault="09424C7C" w:rsidP="09424C7C">
      <w:pPr>
        <w:spacing w:after="60"/>
        <w:jc w:val="both"/>
        <w:rPr>
          <w:rFonts w:ascii="Arial" w:eastAsia="Arial" w:hAnsi="Arial" w:cs="Arial"/>
          <w:b w:val="0"/>
          <w:sz w:val="22"/>
        </w:rPr>
      </w:pPr>
      <w:r w:rsidRPr="09424C7C">
        <w:rPr>
          <w:rFonts w:ascii="Arial" w:eastAsia="Arial" w:hAnsi="Arial" w:cs="Arial"/>
          <w:b w:val="0"/>
          <w:sz w:val="22"/>
        </w:rPr>
        <w:t>QUEL EST LE FONCTIONNEMENT ?</w:t>
      </w:r>
    </w:p>
    <w:p w14:paraId="6A4981E6" w14:textId="77777777" w:rsidR="0095315A" w:rsidRPr="004F61DA" w:rsidRDefault="0095315A" w:rsidP="09424C7C">
      <w:pPr>
        <w:spacing w:after="60"/>
        <w:jc w:val="both"/>
        <w:rPr>
          <w:rFonts w:ascii="Arial" w:eastAsia="Arial" w:hAnsi="Arial" w:cs="Arial"/>
          <w:b w:val="0"/>
          <w:sz w:val="22"/>
        </w:rPr>
      </w:pPr>
    </w:p>
    <w:p w14:paraId="210942C7" w14:textId="0694C72D" w:rsidR="0095315A" w:rsidRPr="004F61DA" w:rsidRDefault="09424C7C" w:rsidP="09424C7C">
      <w:pPr>
        <w:spacing w:after="60"/>
        <w:jc w:val="both"/>
        <w:rPr>
          <w:rFonts w:ascii="Arial" w:eastAsia="Arial" w:hAnsi="Arial" w:cs="Arial"/>
          <w:b w:val="0"/>
          <w:sz w:val="22"/>
        </w:rPr>
      </w:pPr>
      <w:r w:rsidRPr="09424C7C">
        <w:rPr>
          <w:rFonts w:ascii="Arial" w:eastAsia="Arial" w:hAnsi="Arial" w:cs="Arial"/>
          <w:b w:val="0"/>
          <w:sz w:val="22"/>
        </w:rPr>
        <w:t>Une fois le marché signé ou l'avenant accepté, le pouvoir adjudicateur délègue l'acte de commande au porteur de carte.</w:t>
      </w:r>
    </w:p>
    <w:p w14:paraId="4E760D6F" w14:textId="0F8CCD4E" w:rsidR="0095315A" w:rsidRPr="004F61DA" w:rsidRDefault="09424C7C" w:rsidP="09424C7C">
      <w:pPr>
        <w:spacing w:after="60"/>
        <w:jc w:val="both"/>
        <w:rPr>
          <w:rFonts w:ascii="Arial" w:eastAsia="Arial" w:hAnsi="Arial" w:cs="Arial"/>
          <w:b w:val="0"/>
          <w:sz w:val="22"/>
        </w:rPr>
      </w:pPr>
      <w:r w:rsidRPr="09424C7C">
        <w:rPr>
          <w:rFonts w:ascii="Arial" w:eastAsia="Arial" w:hAnsi="Arial" w:cs="Arial"/>
          <w:b w:val="0"/>
          <w:sz w:val="22"/>
        </w:rPr>
        <w:t xml:space="preserve">La </w:t>
      </w:r>
      <w:r w:rsidRPr="09424C7C">
        <w:rPr>
          <w:rFonts w:ascii="Arial" w:eastAsia="Arial" w:hAnsi="Arial" w:cs="Arial"/>
          <w:sz w:val="22"/>
        </w:rPr>
        <w:t>commande</w:t>
      </w:r>
      <w:r w:rsidRPr="09424C7C">
        <w:rPr>
          <w:rFonts w:ascii="Arial" w:eastAsia="Arial" w:hAnsi="Arial" w:cs="Arial"/>
          <w:b w:val="0"/>
          <w:sz w:val="22"/>
        </w:rPr>
        <w:t xml:space="preserve"> est passée directement auprès du fournisseur :</w:t>
      </w:r>
    </w:p>
    <w:p w14:paraId="4C858664" w14:textId="5F69318D" w:rsidR="0095315A" w:rsidRPr="004F61DA" w:rsidRDefault="09424C7C" w:rsidP="09424C7C">
      <w:pPr>
        <w:pStyle w:val="Paragraphedeliste"/>
        <w:numPr>
          <w:ilvl w:val="0"/>
          <w:numId w:val="4"/>
        </w:numPr>
        <w:spacing w:after="60"/>
        <w:jc w:val="both"/>
        <w:rPr>
          <w:rFonts w:ascii="Marianne" w:hAnsi="Marianne"/>
          <w:b w:val="0"/>
          <w:sz w:val="22"/>
        </w:rPr>
      </w:pPr>
      <w:proofErr w:type="gramStart"/>
      <w:r w:rsidRPr="09424C7C">
        <w:rPr>
          <w:rFonts w:ascii="Arial" w:eastAsia="Arial" w:hAnsi="Arial" w:cs="Arial"/>
          <w:b w:val="0"/>
          <w:sz w:val="22"/>
        </w:rPr>
        <w:t>soit</w:t>
      </w:r>
      <w:proofErr w:type="gramEnd"/>
      <w:r w:rsidRPr="09424C7C">
        <w:rPr>
          <w:rFonts w:ascii="Arial" w:eastAsia="Arial" w:hAnsi="Arial" w:cs="Arial"/>
          <w:b w:val="0"/>
          <w:sz w:val="22"/>
        </w:rPr>
        <w:t xml:space="preserve"> sur un site de commande en ligne (dans ce cas, le porteur saisit les coordonnées de sa carte et les mots de passe nécessaires dans le formulaire de paiement en ligne) ; </w:t>
      </w:r>
    </w:p>
    <w:p w14:paraId="398194F4" w14:textId="2292260A" w:rsidR="0095315A" w:rsidRPr="000A14D2" w:rsidRDefault="09424C7C" w:rsidP="09424C7C">
      <w:pPr>
        <w:pStyle w:val="Paragraphedeliste"/>
        <w:numPr>
          <w:ilvl w:val="0"/>
          <w:numId w:val="4"/>
        </w:numPr>
        <w:spacing w:after="60"/>
        <w:jc w:val="both"/>
        <w:rPr>
          <w:rFonts w:ascii="Marianne" w:hAnsi="Marianne"/>
          <w:b w:val="0"/>
          <w:sz w:val="22"/>
        </w:rPr>
      </w:pPr>
      <w:proofErr w:type="gramStart"/>
      <w:r w:rsidRPr="000A14D2">
        <w:rPr>
          <w:rFonts w:ascii="Arial" w:eastAsia="Arial" w:hAnsi="Arial" w:cs="Arial"/>
          <w:b w:val="0"/>
          <w:sz w:val="22"/>
        </w:rPr>
        <w:t>soit</w:t>
      </w:r>
      <w:proofErr w:type="gramEnd"/>
      <w:r w:rsidRPr="000A14D2">
        <w:rPr>
          <w:rFonts w:ascii="Arial" w:eastAsia="Arial" w:hAnsi="Arial" w:cs="Arial"/>
          <w:b w:val="0"/>
          <w:sz w:val="22"/>
        </w:rPr>
        <w:t xml:space="preserve"> par télécopie ou courriel (dans ce cas, le porteur inscrit sur le bon de commande ses coordonnées, celles de sa carte ainsi que sa signature).</w:t>
      </w:r>
    </w:p>
    <w:p w14:paraId="3B3C1A53" w14:textId="77777777" w:rsidR="0095315A" w:rsidRPr="004F61DA" w:rsidRDefault="0095315A" w:rsidP="09424C7C">
      <w:pPr>
        <w:spacing w:after="60"/>
        <w:jc w:val="both"/>
        <w:rPr>
          <w:rFonts w:ascii="Arial" w:eastAsia="Arial" w:hAnsi="Arial" w:cs="Arial"/>
          <w:b w:val="0"/>
          <w:sz w:val="22"/>
        </w:rPr>
      </w:pPr>
    </w:p>
    <w:p w14:paraId="637D95F6" w14:textId="1886E543" w:rsidR="00DB05A1" w:rsidRPr="004F61DA" w:rsidRDefault="09424C7C" w:rsidP="09424C7C">
      <w:pPr>
        <w:spacing w:after="60"/>
        <w:jc w:val="both"/>
        <w:rPr>
          <w:rFonts w:ascii="Arial" w:eastAsia="Arial" w:hAnsi="Arial" w:cs="Arial"/>
          <w:b w:val="0"/>
          <w:sz w:val="22"/>
        </w:rPr>
      </w:pPr>
      <w:r w:rsidRPr="09424C7C">
        <w:rPr>
          <w:rFonts w:ascii="Arial" w:eastAsia="Arial" w:hAnsi="Arial" w:cs="Arial"/>
          <w:b w:val="0"/>
          <w:sz w:val="22"/>
        </w:rPr>
        <w:t xml:space="preserve">Une fois l’achat réalisé par le porteur, le fournisseur effectue une </w:t>
      </w:r>
      <w:r w:rsidRPr="09424C7C">
        <w:rPr>
          <w:rFonts w:ascii="Arial" w:eastAsia="Arial" w:hAnsi="Arial" w:cs="Arial"/>
          <w:sz w:val="22"/>
        </w:rPr>
        <w:t>demande d'autorisation</w:t>
      </w:r>
      <w:r w:rsidRPr="09424C7C">
        <w:rPr>
          <w:rFonts w:ascii="Arial" w:eastAsia="Arial" w:hAnsi="Arial" w:cs="Arial"/>
          <w:b w:val="0"/>
          <w:sz w:val="22"/>
        </w:rPr>
        <w:t xml:space="preserve"> auprès du centre d'exploitation de la BNP Paribas, afin de vérifier la qualité du porteur et de contrôler ses droits et habilitations préalablement déterminés par l’administration. </w:t>
      </w:r>
    </w:p>
    <w:p w14:paraId="37F875E2" w14:textId="77777777" w:rsidR="00DB05A1" w:rsidRPr="004F61DA" w:rsidRDefault="09424C7C" w:rsidP="09424C7C">
      <w:pPr>
        <w:spacing w:after="60"/>
        <w:jc w:val="both"/>
        <w:rPr>
          <w:rFonts w:ascii="Arial" w:eastAsia="Arial" w:hAnsi="Arial" w:cs="Arial"/>
          <w:b w:val="0"/>
          <w:sz w:val="22"/>
        </w:rPr>
      </w:pPr>
      <w:r w:rsidRPr="09424C7C">
        <w:rPr>
          <w:rFonts w:ascii="Arial" w:eastAsia="Arial" w:hAnsi="Arial" w:cs="Arial"/>
          <w:b w:val="0"/>
          <w:sz w:val="22"/>
        </w:rPr>
        <w:t>Cette opération :</w:t>
      </w:r>
    </w:p>
    <w:p w14:paraId="1C8C6914" w14:textId="77777777" w:rsidR="00DB05A1" w:rsidRPr="004F61DA" w:rsidRDefault="09424C7C" w:rsidP="09424C7C">
      <w:pPr>
        <w:pStyle w:val="Paragraphedeliste"/>
        <w:numPr>
          <w:ilvl w:val="0"/>
          <w:numId w:val="2"/>
        </w:numPr>
        <w:spacing w:after="60"/>
        <w:jc w:val="both"/>
        <w:rPr>
          <w:rFonts w:ascii="Marianne" w:hAnsi="Marianne"/>
          <w:b w:val="0"/>
          <w:sz w:val="22"/>
        </w:rPr>
      </w:pPr>
      <w:proofErr w:type="gramStart"/>
      <w:r w:rsidRPr="09424C7C">
        <w:rPr>
          <w:rFonts w:ascii="Arial" w:eastAsia="Arial" w:hAnsi="Arial" w:cs="Arial"/>
          <w:b w:val="0"/>
          <w:sz w:val="22"/>
        </w:rPr>
        <w:t>est</w:t>
      </w:r>
      <w:proofErr w:type="gramEnd"/>
      <w:r w:rsidRPr="09424C7C">
        <w:rPr>
          <w:rFonts w:ascii="Arial" w:eastAsia="Arial" w:hAnsi="Arial" w:cs="Arial"/>
          <w:b w:val="0"/>
          <w:sz w:val="22"/>
        </w:rPr>
        <w:t xml:space="preserve"> automatique si un site Internet existe ;</w:t>
      </w:r>
    </w:p>
    <w:p w14:paraId="70F2A0F6" w14:textId="21C11706" w:rsidR="00DB05A1" w:rsidRPr="004F61DA" w:rsidRDefault="09424C7C" w:rsidP="09424C7C">
      <w:pPr>
        <w:pStyle w:val="Paragraphedeliste"/>
        <w:numPr>
          <w:ilvl w:val="0"/>
          <w:numId w:val="2"/>
        </w:numPr>
        <w:spacing w:after="60"/>
        <w:jc w:val="both"/>
        <w:rPr>
          <w:rFonts w:ascii="Marianne" w:hAnsi="Marianne"/>
          <w:b w:val="0"/>
          <w:sz w:val="22"/>
        </w:rPr>
      </w:pPr>
      <w:proofErr w:type="gramStart"/>
      <w:r w:rsidRPr="09424C7C">
        <w:rPr>
          <w:rFonts w:ascii="Arial" w:eastAsia="Arial" w:hAnsi="Arial" w:cs="Arial"/>
          <w:b w:val="0"/>
          <w:sz w:val="22"/>
        </w:rPr>
        <w:t>est</w:t>
      </w:r>
      <w:proofErr w:type="gramEnd"/>
      <w:r w:rsidRPr="09424C7C">
        <w:rPr>
          <w:rFonts w:ascii="Arial" w:eastAsia="Arial" w:hAnsi="Arial" w:cs="Arial"/>
          <w:b w:val="0"/>
          <w:sz w:val="22"/>
        </w:rPr>
        <w:t xml:space="preserve"> réalisée manuellement par le fournisseur en l’absence de site Internet (saisie des données figurant sur le bon de commande). </w:t>
      </w:r>
    </w:p>
    <w:p w14:paraId="0BCAB926" w14:textId="3CAA30CD" w:rsidR="0095315A" w:rsidRPr="004F61DA" w:rsidRDefault="09424C7C" w:rsidP="09424C7C">
      <w:pPr>
        <w:spacing w:after="60"/>
        <w:jc w:val="both"/>
        <w:rPr>
          <w:rFonts w:ascii="Arial" w:eastAsia="Arial" w:hAnsi="Arial" w:cs="Arial"/>
          <w:b w:val="0"/>
          <w:sz w:val="22"/>
        </w:rPr>
      </w:pPr>
      <w:r w:rsidRPr="09424C7C">
        <w:rPr>
          <w:rFonts w:ascii="Arial" w:eastAsia="Arial" w:hAnsi="Arial" w:cs="Arial"/>
          <w:b w:val="0"/>
          <w:sz w:val="22"/>
        </w:rPr>
        <w:t>Une fois l’autorisation donnée par la BNP Paribas, celle-ci est valable durant 30 jours.</w:t>
      </w:r>
    </w:p>
    <w:p w14:paraId="7B2D95DB" w14:textId="77777777" w:rsidR="0095315A" w:rsidRPr="004F61DA" w:rsidRDefault="0095315A" w:rsidP="09424C7C">
      <w:pPr>
        <w:spacing w:after="60"/>
        <w:jc w:val="both"/>
        <w:rPr>
          <w:rFonts w:ascii="Arial" w:eastAsia="Arial" w:hAnsi="Arial" w:cs="Arial"/>
          <w:b w:val="0"/>
          <w:sz w:val="22"/>
        </w:rPr>
      </w:pPr>
    </w:p>
    <w:p w14:paraId="01F564CC" w14:textId="77777777" w:rsidR="004F61DA" w:rsidRDefault="09424C7C" w:rsidP="09424C7C">
      <w:pPr>
        <w:spacing w:after="60"/>
        <w:jc w:val="both"/>
        <w:rPr>
          <w:rFonts w:ascii="Arial" w:eastAsia="Arial" w:hAnsi="Arial" w:cs="Arial"/>
          <w:b w:val="0"/>
          <w:sz w:val="22"/>
        </w:rPr>
      </w:pPr>
      <w:r w:rsidRPr="09424C7C">
        <w:rPr>
          <w:rFonts w:ascii="Arial" w:eastAsia="Arial" w:hAnsi="Arial" w:cs="Arial"/>
          <w:b w:val="0"/>
          <w:sz w:val="22"/>
        </w:rPr>
        <w:t xml:space="preserve">Une fois la commande livrée (ou la prestation assurée) et acceptée par le porteur, le fournisseur peut procéder à la demande de règlement automatique par </w:t>
      </w:r>
      <w:r w:rsidRPr="09424C7C">
        <w:rPr>
          <w:rFonts w:ascii="Arial" w:eastAsia="Arial" w:hAnsi="Arial" w:cs="Arial"/>
          <w:sz w:val="22"/>
        </w:rPr>
        <w:t>télécollecte</w:t>
      </w:r>
      <w:r w:rsidRPr="09424C7C">
        <w:rPr>
          <w:rFonts w:ascii="Arial" w:eastAsia="Arial" w:hAnsi="Arial" w:cs="Arial"/>
          <w:b w:val="0"/>
          <w:sz w:val="22"/>
        </w:rPr>
        <w:t xml:space="preserve"> auprès de la BNP Paribas. </w:t>
      </w:r>
    </w:p>
    <w:p w14:paraId="35DF9D6A" w14:textId="33595845" w:rsidR="009404BC" w:rsidRDefault="09424C7C" w:rsidP="09424C7C">
      <w:pPr>
        <w:spacing w:after="60"/>
        <w:jc w:val="both"/>
        <w:rPr>
          <w:rFonts w:ascii="Arial" w:eastAsia="Arial" w:hAnsi="Arial" w:cs="Arial"/>
          <w:b w:val="0"/>
          <w:sz w:val="22"/>
        </w:rPr>
      </w:pPr>
      <w:r w:rsidRPr="09424C7C">
        <w:rPr>
          <w:rFonts w:ascii="Arial" w:eastAsia="Arial" w:hAnsi="Arial" w:cs="Arial"/>
          <w:b w:val="0"/>
          <w:sz w:val="22"/>
        </w:rPr>
        <w:t xml:space="preserve">Le paiement est réalisé sous 4 jours. En l’absence de réserves ou de contestation de l’administration dans un délai de 15 jours à compter de la transaction, le service est considéré comme fait. </w:t>
      </w:r>
    </w:p>
    <w:p w14:paraId="1EDAF576" w14:textId="33DFAAED" w:rsidR="0095315A" w:rsidRPr="004F61DA" w:rsidRDefault="09424C7C" w:rsidP="09424C7C">
      <w:pPr>
        <w:spacing w:after="60"/>
        <w:jc w:val="both"/>
        <w:rPr>
          <w:rFonts w:ascii="Arial" w:eastAsia="Arial" w:hAnsi="Arial" w:cs="Arial"/>
          <w:b w:val="0"/>
          <w:sz w:val="22"/>
        </w:rPr>
      </w:pPr>
      <w:r w:rsidRPr="09424C7C">
        <w:rPr>
          <w:rFonts w:ascii="Arial" w:eastAsia="Arial" w:hAnsi="Arial" w:cs="Arial"/>
          <w:b w:val="0"/>
          <w:sz w:val="22"/>
        </w:rPr>
        <w:t xml:space="preserve">En outre, le fournisseur dispose d’une assistance technique à l’adresse suivante : </w:t>
      </w:r>
      <w:hyperlink r:id="rId11">
        <w:r w:rsidRPr="09424C7C">
          <w:rPr>
            <w:rStyle w:val="Lienhypertexte"/>
            <w:rFonts w:ascii="Arial" w:eastAsia="Arial" w:hAnsi="Arial" w:cs="Arial"/>
            <w:b w:val="0"/>
            <w:sz w:val="22"/>
          </w:rPr>
          <w:t>assistance.carteachat@bnpparibas.com</w:t>
        </w:r>
      </w:hyperlink>
      <w:r w:rsidRPr="09424C7C">
        <w:rPr>
          <w:rFonts w:ascii="Arial" w:eastAsia="Arial" w:hAnsi="Arial" w:cs="Arial"/>
          <w:b w:val="0"/>
          <w:sz w:val="22"/>
        </w:rPr>
        <w:t xml:space="preserve">. </w:t>
      </w:r>
    </w:p>
    <w:p w14:paraId="51076FEE" w14:textId="7260E958" w:rsidR="0095315A" w:rsidRDefault="0095315A" w:rsidP="09424C7C">
      <w:pPr>
        <w:spacing w:after="60"/>
        <w:jc w:val="both"/>
        <w:rPr>
          <w:rFonts w:ascii="Arial" w:eastAsia="Arial" w:hAnsi="Arial" w:cs="Arial"/>
          <w:b w:val="0"/>
          <w:sz w:val="22"/>
        </w:rPr>
      </w:pPr>
    </w:p>
    <w:p w14:paraId="0AE4B75A" w14:textId="77777777" w:rsidR="004F61DA" w:rsidRPr="004F61DA" w:rsidRDefault="004F61DA" w:rsidP="09424C7C">
      <w:pPr>
        <w:spacing w:after="60"/>
        <w:jc w:val="both"/>
        <w:rPr>
          <w:rFonts w:ascii="Arial" w:eastAsia="Arial" w:hAnsi="Arial" w:cs="Arial"/>
          <w:b w:val="0"/>
          <w:sz w:val="22"/>
        </w:rPr>
      </w:pPr>
    </w:p>
    <w:p w14:paraId="255DE2EA" w14:textId="77777777" w:rsidR="0095315A" w:rsidRPr="004F61DA" w:rsidRDefault="09424C7C" w:rsidP="09424C7C">
      <w:pPr>
        <w:spacing w:after="60"/>
        <w:jc w:val="both"/>
        <w:rPr>
          <w:rFonts w:ascii="Arial" w:eastAsia="Arial" w:hAnsi="Arial" w:cs="Arial"/>
          <w:b w:val="0"/>
          <w:sz w:val="22"/>
        </w:rPr>
      </w:pPr>
      <w:r w:rsidRPr="09424C7C">
        <w:rPr>
          <w:rFonts w:ascii="Arial" w:eastAsia="Arial" w:hAnsi="Arial" w:cs="Arial"/>
          <w:b w:val="0"/>
          <w:sz w:val="22"/>
        </w:rPr>
        <w:t>COMMENT S’EFFECTUE LA MISE EN PLACE ?</w:t>
      </w:r>
    </w:p>
    <w:p w14:paraId="1DD7029A" w14:textId="77777777" w:rsidR="0095315A" w:rsidRPr="004F61DA" w:rsidRDefault="0095315A" w:rsidP="09424C7C">
      <w:pPr>
        <w:spacing w:after="60"/>
        <w:jc w:val="both"/>
        <w:rPr>
          <w:rFonts w:ascii="Arial" w:eastAsia="Arial" w:hAnsi="Arial" w:cs="Arial"/>
          <w:b w:val="0"/>
          <w:sz w:val="22"/>
        </w:rPr>
      </w:pPr>
    </w:p>
    <w:p w14:paraId="4281F201" w14:textId="77777777" w:rsidR="00A921E7" w:rsidRDefault="09424C7C" w:rsidP="09424C7C">
      <w:pPr>
        <w:spacing w:after="60"/>
        <w:jc w:val="both"/>
        <w:rPr>
          <w:rFonts w:ascii="Arial" w:eastAsia="Arial" w:hAnsi="Arial" w:cs="Arial"/>
          <w:b w:val="0"/>
          <w:sz w:val="22"/>
        </w:rPr>
      </w:pPr>
      <w:r w:rsidRPr="09424C7C">
        <w:rPr>
          <w:rFonts w:ascii="Arial" w:eastAsia="Arial" w:hAnsi="Arial" w:cs="Arial"/>
          <w:b w:val="0"/>
          <w:sz w:val="22"/>
        </w:rPr>
        <w:t>Le fournisseur doit :</w:t>
      </w:r>
    </w:p>
    <w:p w14:paraId="36183E2D" w14:textId="4CE6A5D3" w:rsidR="00A921E7" w:rsidRDefault="09424C7C" w:rsidP="09424C7C">
      <w:pPr>
        <w:pStyle w:val="Paragraphedeliste"/>
        <w:numPr>
          <w:ilvl w:val="0"/>
          <w:numId w:val="2"/>
        </w:numPr>
        <w:spacing w:after="60"/>
        <w:jc w:val="both"/>
        <w:rPr>
          <w:rFonts w:ascii="Marianne" w:hAnsi="Marianne"/>
          <w:b w:val="0"/>
          <w:sz w:val="22"/>
        </w:rPr>
      </w:pPr>
      <w:proofErr w:type="gramStart"/>
      <w:r w:rsidRPr="09424C7C">
        <w:rPr>
          <w:rFonts w:ascii="Arial" w:eastAsia="Arial" w:hAnsi="Arial" w:cs="Arial"/>
          <w:b w:val="0"/>
          <w:sz w:val="22"/>
        </w:rPr>
        <w:t>détenir</w:t>
      </w:r>
      <w:proofErr w:type="gramEnd"/>
      <w:r w:rsidRPr="09424C7C">
        <w:rPr>
          <w:rFonts w:ascii="Arial" w:eastAsia="Arial" w:hAnsi="Arial" w:cs="Arial"/>
          <w:b w:val="0"/>
          <w:sz w:val="22"/>
        </w:rPr>
        <w:t xml:space="preserve"> un </w:t>
      </w:r>
      <w:r w:rsidRPr="09424C7C">
        <w:rPr>
          <w:rFonts w:ascii="Arial" w:eastAsia="Arial" w:hAnsi="Arial" w:cs="Arial"/>
          <w:sz w:val="22"/>
        </w:rPr>
        <w:t>compte bancaire</w:t>
      </w:r>
      <w:r w:rsidR="00F87E06">
        <w:rPr>
          <w:rFonts w:ascii="Arial" w:eastAsia="Arial" w:hAnsi="Arial" w:cs="Arial"/>
          <w:b w:val="0"/>
          <w:sz w:val="22"/>
        </w:rPr>
        <w:t xml:space="preserve"> chez l’une des 3</w:t>
      </w:r>
      <w:r w:rsidRPr="09424C7C">
        <w:rPr>
          <w:rFonts w:ascii="Arial" w:eastAsia="Arial" w:hAnsi="Arial" w:cs="Arial"/>
          <w:b w:val="0"/>
          <w:sz w:val="22"/>
        </w:rPr>
        <w:t xml:space="preserve"> banques appartena</w:t>
      </w:r>
      <w:r w:rsidR="00F87E06">
        <w:rPr>
          <w:rFonts w:ascii="Arial" w:eastAsia="Arial" w:hAnsi="Arial" w:cs="Arial"/>
          <w:b w:val="0"/>
          <w:sz w:val="22"/>
        </w:rPr>
        <w:t xml:space="preserve">nt au réseau VISA (BNP Paribas, </w:t>
      </w:r>
      <w:r w:rsidRPr="09424C7C">
        <w:rPr>
          <w:rFonts w:ascii="Arial" w:eastAsia="Arial" w:hAnsi="Arial" w:cs="Arial"/>
          <w:b w:val="0"/>
          <w:sz w:val="22"/>
        </w:rPr>
        <w:t>Caisse d’épargne, Banque Populaire) ;</w:t>
      </w:r>
    </w:p>
    <w:p w14:paraId="77008035" w14:textId="7E136F72" w:rsidR="00A921E7" w:rsidRDefault="09424C7C" w:rsidP="09424C7C">
      <w:pPr>
        <w:pStyle w:val="Paragraphedeliste"/>
        <w:numPr>
          <w:ilvl w:val="0"/>
          <w:numId w:val="2"/>
        </w:numPr>
        <w:spacing w:after="60"/>
        <w:jc w:val="both"/>
        <w:rPr>
          <w:rFonts w:ascii="Marianne" w:hAnsi="Marianne"/>
          <w:b w:val="0"/>
          <w:sz w:val="22"/>
        </w:rPr>
      </w:pPr>
      <w:proofErr w:type="gramStart"/>
      <w:r w:rsidRPr="09424C7C">
        <w:rPr>
          <w:rFonts w:ascii="Arial" w:eastAsia="Arial" w:hAnsi="Arial" w:cs="Arial"/>
          <w:b w:val="0"/>
          <w:sz w:val="22"/>
        </w:rPr>
        <w:t>signer</w:t>
      </w:r>
      <w:proofErr w:type="gramEnd"/>
      <w:r w:rsidRPr="09424C7C">
        <w:rPr>
          <w:rFonts w:ascii="Arial" w:eastAsia="Arial" w:hAnsi="Arial" w:cs="Arial"/>
          <w:b w:val="0"/>
          <w:sz w:val="22"/>
        </w:rPr>
        <w:t xml:space="preserve"> un </w:t>
      </w:r>
      <w:r w:rsidRPr="09424C7C">
        <w:rPr>
          <w:rFonts w:ascii="Arial" w:eastAsia="Arial" w:hAnsi="Arial" w:cs="Arial"/>
          <w:sz w:val="22"/>
        </w:rPr>
        <w:t>contrat monétique</w:t>
      </w:r>
      <w:r w:rsidRPr="09424C7C">
        <w:rPr>
          <w:rFonts w:ascii="Arial" w:eastAsia="Arial" w:hAnsi="Arial" w:cs="Arial"/>
          <w:b w:val="0"/>
          <w:sz w:val="22"/>
        </w:rPr>
        <w:t xml:space="preserve"> « carte d’achat niveau 3 » avec l’une de ces banques, dans lequel sera notamment fixé le taux de commission prélevé sur le montant TTC de chaque</w:t>
      </w:r>
      <w:r w:rsidR="00F87E06">
        <w:rPr>
          <w:rFonts w:ascii="Arial" w:eastAsia="Arial" w:hAnsi="Arial" w:cs="Arial"/>
          <w:b w:val="0"/>
          <w:sz w:val="22"/>
        </w:rPr>
        <w:t xml:space="preserve"> transaction (entre 1,20% et 1,5</w:t>
      </w:r>
      <w:r w:rsidRPr="09424C7C">
        <w:rPr>
          <w:rFonts w:ascii="Arial" w:eastAsia="Arial" w:hAnsi="Arial" w:cs="Arial"/>
          <w:b w:val="0"/>
          <w:sz w:val="22"/>
        </w:rPr>
        <w:t>0%) ;</w:t>
      </w:r>
    </w:p>
    <w:p w14:paraId="7AECB34A" w14:textId="713E13C7" w:rsidR="00E82413" w:rsidRPr="00E82413" w:rsidRDefault="09424C7C" w:rsidP="09424C7C">
      <w:pPr>
        <w:pStyle w:val="Paragraphedeliste"/>
        <w:numPr>
          <w:ilvl w:val="0"/>
          <w:numId w:val="2"/>
        </w:numPr>
        <w:spacing w:after="60"/>
        <w:jc w:val="both"/>
        <w:rPr>
          <w:rFonts w:ascii="Marianne" w:hAnsi="Marianne"/>
          <w:b w:val="0"/>
          <w:sz w:val="22"/>
        </w:rPr>
      </w:pPr>
      <w:proofErr w:type="gramStart"/>
      <w:r w:rsidRPr="09424C7C">
        <w:rPr>
          <w:rFonts w:ascii="Arial" w:eastAsia="Arial" w:hAnsi="Arial" w:cs="Arial"/>
          <w:b w:val="0"/>
          <w:sz w:val="22"/>
        </w:rPr>
        <w:lastRenderedPageBreak/>
        <w:t>s’équiper</w:t>
      </w:r>
      <w:proofErr w:type="gramEnd"/>
      <w:r w:rsidRPr="09424C7C">
        <w:rPr>
          <w:rFonts w:ascii="Arial" w:eastAsia="Arial" w:hAnsi="Arial" w:cs="Arial"/>
          <w:b w:val="0"/>
          <w:sz w:val="22"/>
        </w:rPr>
        <w:t xml:space="preserve"> d’une </w:t>
      </w:r>
      <w:r w:rsidRPr="09424C7C">
        <w:rPr>
          <w:rFonts w:ascii="Arial" w:eastAsia="Arial" w:hAnsi="Arial" w:cs="Arial"/>
          <w:sz w:val="22"/>
        </w:rPr>
        <w:t>solution d’acceptation de niveau 3</w:t>
      </w:r>
      <w:r w:rsidRPr="09424C7C">
        <w:rPr>
          <w:rFonts w:ascii="Arial" w:eastAsia="Arial" w:hAnsi="Arial" w:cs="Arial"/>
          <w:b w:val="0"/>
          <w:sz w:val="22"/>
        </w:rPr>
        <w:t xml:space="preserve"> auprès d’un prestataire extérieur à la banque, qui permet notamment de gérer les demandes d’autorisation et de paiement ainsi que l’échange de données enrichies par rapport à une simple transaction par CB classique (coût d’installation, abonnement mensuel et commission estimés à 1,80% du montant TTC de chaque demande de paiement). </w:t>
      </w:r>
    </w:p>
    <w:p w14:paraId="70E22788" w14:textId="140401D9" w:rsidR="0095315A" w:rsidRDefault="09424C7C" w:rsidP="09424C7C">
      <w:pPr>
        <w:pStyle w:val="Paragraphedeliste"/>
        <w:spacing w:after="60"/>
        <w:jc w:val="both"/>
        <w:rPr>
          <w:rStyle w:val="Lienhypertexte"/>
          <w:rFonts w:ascii="Arial" w:eastAsia="Arial" w:hAnsi="Arial" w:cs="Arial"/>
          <w:b w:val="0"/>
          <w:color w:val="auto"/>
          <w:sz w:val="22"/>
          <w:u w:val="none"/>
        </w:rPr>
      </w:pPr>
      <w:r w:rsidRPr="09424C7C">
        <w:rPr>
          <w:rFonts w:ascii="Arial" w:eastAsia="Arial" w:hAnsi="Arial" w:cs="Arial"/>
          <w:b w:val="0"/>
          <w:sz w:val="22"/>
        </w:rPr>
        <w:t>Les partenaires officiels de la BNP Paribas sont ITS et INGENICO (</w:t>
      </w:r>
      <w:hyperlink r:id="rId12">
        <w:r w:rsidRPr="09424C7C">
          <w:rPr>
            <w:rStyle w:val="Lienhypertexte"/>
            <w:rFonts w:ascii="Arial" w:eastAsia="Arial" w:hAnsi="Arial" w:cs="Arial"/>
            <w:b w:val="0"/>
            <w:sz w:val="22"/>
          </w:rPr>
          <w:t>https://www.ingenico.com/fr/epayments/partenaires</w:t>
        </w:r>
      </w:hyperlink>
      <w:r w:rsidRPr="09424C7C">
        <w:rPr>
          <w:rStyle w:val="Lienhypertexte"/>
          <w:rFonts w:ascii="Arial" w:eastAsia="Arial" w:hAnsi="Arial" w:cs="Arial"/>
          <w:b w:val="0"/>
          <w:color w:val="auto"/>
          <w:sz w:val="22"/>
          <w:u w:val="none"/>
        </w:rPr>
        <w:t>).</w:t>
      </w:r>
    </w:p>
    <w:p w14:paraId="78C7936E" w14:textId="77777777" w:rsidR="00E82413" w:rsidRPr="00E82413" w:rsidRDefault="00E82413" w:rsidP="09424C7C">
      <w:pPr>
        <w:spacing w:after="60"/>
        <w:jc w:val="both"/>
        <w:rPr>
          <w:rFonts w:ascii="Arial" w:eastAsia="Arial" w:hAnsi="Arial" w:cs="Arial"/>
          <w:b w:val="0"/>
          <w:sz w:val="22"/>
        </w:rPr>
      </w:pPr>
    </w:p>
    <w:p w14:paraId="2224DA6C" w14:textId="01E166B9" w:rsidR="0095315A" w:rsidRDefault="09424C7C" w:rsidP="09424C7C">
      <w:pPr>
        <w:spacing w:after="60"/>
        <w:jc w:val="both"/>
        <w:rPr>
          <w:rFonts w:ascii="Arial" w:eastAsia="Arial" w:hAnsi="Arial" w:cs="Arial"/>
          <w:b w:val="0"/>
          <w:sz w:val="22"/>
        </w:rPr>
      </w:pPr>
      <w:r w:rsidRPr="09424C7C">
        <w:rPr>
          <w:rFonts w:ascii="Arial" w:eastAsia="Arial" w:hAnsi="Arial" w:cs="Arial"/>
          <w:b w:val="0"/>
          <w:sz w:val="22"/>
        </w:rPr>
        <w:t xml:space="preserve">Le coût global de ce contrat, par ailleurs évolutif en cours de marché, varie selon les solutions de vente proposées par le fournisseur au client (existence ou non d’un site de vente en ligne), et s’élève en moyenne à 3% du montant TTC de chaque transaction. </w:t>
      </w:r>
    </w:p>
    <w:p w14:paraId="2641E661" w14:textId="77777777" w:rsidR="00E82413" w:rsidRPr="004F61DA" w:rsidRDefault="00E82413" w:rsidP="09424C7C">
      <w:pPr>
        <w:spacing w:after="60"/>
        <w:jc w:val="both"/>
        <w:rPr>
          <w:rFonts w:ascii="Arial" w:eastAsia="Arial" w:hAnsi="Arial" w:cs="Arial"/>
          <w:b w:val="0"/>
          <w:sz w:val="22"/>
        </w:rPr>
      </w:pPr>
    </w:p>
    <w:p w14:paraId="7ADC2F4E" w14:textId="77777777" w:rsidR="0095315A" w:rsidRPr="004F61DA" w:rsidRDefault="09424C7C" w:rsidP="09424C7C">
      <w:pPr>
        <w:spacing w:after="60"/>
        <w:jc w:val="both"/>
        <w:rPr>
          <w:rFonts w:ascii="Arial" w:eastAsia="Arial" w:hAnsi="Arial" w:cs="Arial"/>
          <w:b w:val="0"/>
          <w:sz w:val="22"/>
        </w:rPr>
      </w:pPr>
      <w:r w:rsidRPr="09424C7C">
        <w:rPr>
          <w:rFonts w:ascii="Arial" w:eastAsia="Arial" w:hAnsi="Arial" w:cs="Arial"/>
          <w:b w:val="0"/>
          <w:sz w:val="22"/>
        </w:rPr>
        <w:t>QUELS SONT LES AVANTAGES DE LA CARTE ACHAT ?</w:t>
      </w:r>
    </w:p>
    <w:p w14:paraId="6C0FCDE0" w14:textId="77777777" w:rsidR="0095315A" w:rsidRPr="004F61DA" w:rsidRDefault="0095315A" w:rsidP="09424C7C">
      <w:pPr>
        <w:spacing w:after="60"/>
        <w:jc w:val="both"/>
        <w:rPr>
          <w:rFonts w:ascii="Arial" w:eastAsia="Arial" w:hAnsi="Arial" w:cs="Arial"/>
          <w:b w:val="0"/>
          <w:sz w:val="22"/>
        </w:rPr>
      </w:pPr>
    </w:p>
    <w:p w14:paraId="355A0509" w14:textId="7A0B97A3" w:rsidR="0095315A" w:rsidRPr="00E82413" w:rsidRDefault="09424C7C" w:rsidP="09424C7C">
      <w:pPr>
        <w:pStyle w:val="Paragraphedeliste"/>
        <w:numPr>
          <w:ilvl w:val="0"/>
          <w:numId w:val="6"/>
        </w:numPr>
        <w:spacing w:after="60"/>
        <w:jc w:val="both"/>
        <w:rPr>
          <w:rFonts w:ascii="Marianne" w:hAnsi="Marianne"/>
          <w:b w:val="0"/>
          <w:sz w:val="22"/>
        </w:rPr>
      </w:pPr>
      <w:r w:rsidRPr="09424C7C">
        <w:rPr>
          <w:rFonts w:ascii="Arial" w:eastAsia="Arial" w:hAnsi="Arial" w:cs="Arial"/>
          <w:b w:val="0"/>
          <w:sz w:val="22"/>
        </w:rPr>
        <w:t>Réduction substantielle des délais de paiement (4 jours au lieu de 30 dans le cadre d’une mise en paiement classique), induisant une diminution du besoin en "fonds de roulement" ;</w:t>
      </w:r>
    </w:p>
    <w:p w14:paraId="597FEB15" w14:textId="28859E43" w:rsidR="0095315A" w:rsidRPr="00E82413" w:rsidRDefault="09424C7C" w:rsidP="09424C7C">
      <w:pPr>
        <w:pStyle w:val="Paragraphedeliste"/>
        <w:numPr>
          <w:ilvl w:val="0"/>
          <w:numId w:val="6"/>
        </w:numPr>
        <w:spacing w:after="60"/>
        <w:jc w:val="both"/>
        <w:rPr>
          <w:rFonts w:ascii="Marianne" w:hAnsi="Marianne"/>
          <w:b w:val="0"/>
          <w:sz w:val="22"/>
        </w:rPr>
      </w:pPr>
      <w:proofErr w:type="gramStart"/>
      <w:r w:rsidRPr="09424C7C">
        <w:rPr>
          <w:rFonts w:ascii="Arial" w:eastAsia="Arial" w:hAnsi="Arial" w:cs="Arial"/>
          <w:b w:val="0"/>
          <w:sz w:val="22"/>
        </w:rPr>
        <w:t>commandes</w:t>
      </w:r>
      <w:proofErr w:type="gramEnd"/>
      <w:r w:rsidRPr="09424C7C">
        <w:rPr>
          <w:rFonts w:ascii="Arial" w:eastAsia="Arial" w:hAnsi="Arial" w:cs="Arial"/>
          <w:b w:val="0"/>
          <w:sz w:val="22"/>
        </w:rPr>
        <w:t xml:space="preserve"> passées directement par le prescripteur (délai de passation raccourci et relations facilitées grâce au contact direct avec le bénéficiaire) ;</w:t>
      </w:r>
    </w:p>
    <w:p w14:paraId="1B6A630B" w14:textId="5C638811" w:rsidR="0095315A" w:rsidRPr="00E82413" w:rsidRDefault="09424C7C" w:rsidP="09424C7C">
      <w:pPr>
        <w:pStyle w:val="Paragraphedeliste"/>
        <w:numPr>
          <w:ilvl w:val="0"/>
          <w:numId w:val="6"/>
        </w:numPr>
        <w:spacing w:after="60"/>
        <w:jc w:val="both"/>
        <w:rPr>
          <w:rFonts w:ascii="Marianne" w:hAnsi="Marianne"/>
          <w:b w:val="0"/>
          <w:sz w:val="22"/>
        </w:rPr>
      </w:pPr>
      <w:proofErr w:type="gramStart"/>
      <w:r w:rsidRPr="09424C7C">
        <w:rPr>
          <w:rFonts w:ascii="Arial" w:eastAsia="Arial" w:hAnsi="Arial" w:cs="Arial"/>
          <w:b w:val="0"/>
          <w:sz w:val="22"/>
        </w:rPr>
        <w:t>garantie</w:t>
      </w:r>
      <w:proofErr w:type="gramEnd"/>
      <w:r w:rsidRPr="09424C7C">
        <w:rPr>
          <w:rFonts w:ascii="Arial" w:eastAsia="Arial" w:hAnsi="Arial" w:cs="Arial"/>
          <w:b w:val="0"/>
          <w:sz w:val="22"/>
        </w:rPr>
        <w:t xml:space="preserve"> des encaissements (la transaction est entièrement contrôlée) ;</w:t>
      </w:r>
    </w:p>
    <w:p w14:paraId="5B664B60" w14:textId="6F324956" w:rsidR="0095315A" w:rsidRPr="00E82413" w:rsidRDefault="09424C7C" w:rsidP="09424C7C">
      <w:pPr>
        <w:pStyle w:val="Paragraphedeliste"/>
        <w:numPr>
          <w:ilvl w:val="0"/>
          <w:numId w:val="6"/>
        </w:numPr>
        <w:spacing w:after="60"/>
        <w:jc w:val="both"/>
        <w:rPr>
          <w:rFonts w:ascii="Marianne" w:hAnsi="Marianne"/>
          <w:b w:val="0"/>
          <w:sz w:val="22"/>
        </w:rPr>
      </w:pPr>
      <w:proofErr w:type="gramStart"/>
      <w:r w:rsidRPr="09424C7C">
        <w:rPr>
          <w:rFonts w:ascii="Arial" w:eastAsia="Arial" w:hAnsi="Arial" w:cs="Arial"/>
          <w:b w:val="0"/>
          <w:sz w:val="22"/>
        </w:rPr>
        <w:t>suppression</w:t>
      </w:r>
      <w:proofErr w:type="gramEnd"/>
      <w:r w:rsidRPr="09424C7C">
        <w:rPr>
          <w:rFonts w:ascii="Arial" w:eastAsia="Arial" w:hAnsi="Arial" w:cs="Arial"/>
          <w:b w:val="0"/>
          <w:sz w:val="22"/>
        </w:rPr>
        <w:t xml:space="preserve"> des relances (réduction des coûts administratifs) ;</w:t>
      </w:r>
    </w:p>
    <w:p w14:paraId="7E668C6B" w14:textId="529C169B" w:rsidR="0095315A" w:rsidRPr="00E82413" w:rsidRDefault="09424C7C" w:rsidP="09424C7C">
      <w:pPr>
        <w:pStyle w:val="Paragraphedeliste"/>
        <w:numPr>
          <w:ilvl w:val="0"/>
          <w:numId w:val="6"/>
        </w:numPr>
        <w:spacing w:after="60"/>
        <w:jc w:val="both"/>
        <w:rPr>
          <w:rFonts w:ascii="Marianne" w:hAnsi="Marianne"/>
          <w:b w:val="0"/>
          <w:sz w:val="22"/>
        </w:rPr>
      </w:pPr>
      <w:proofErr w:type="gramStart"/>
      <w:r w:rsidRPr="09424C7C">
        <w:rPr>
          <w:rFonts w:ascii="Arial" w:eastAsia="Arial" w:hAnsi="Arial" w:cs="Arial"/>
          <w:b w:val="0"/>
          <w:sz w:val="22"/>
        </w:rPr>
        <w:t>suppression</w:t>
      </w:r>
      <w:proofErr w:type="gramEnd"/>
      <w:r w:rsidRPr="09424C7C">
        <w:rPr>
          <w:rFonts w:ascii="Arial" w:eastAsia="Arial" w:hAnsi="Arial" w:cs="Arial"/>
          <w:b w:val="0"/>
          <w:sz w:val="22"/>
        </w:rPr>
        <w:t xml:space="preserve"> du coût de traitement des commandes lorsque la carte est couplée à un dispositif de commande en ligne.</w:t>
      </w:r>
    </w:p>
    <w:p w14:paraId="3F25F050" w14:textId="77777777" w:rsidR="0095315A" w:rsidRPr="004F61DA" w:rsidRDefault="0095315A" w:rsidP="09424C7C">
      <w:pPr>
        <w:spacing w:after="60"/>
        <w:jc w:val="both"/>
        <w:rPr>
          <w:rFonts w:ascii="Arial" w:eastAsia="Arial" w:hAnsi="Arial" w:cs="Arial"/>
          <w:b w:val="0"/>
          <w:sz w:val="22"/>
        </w:rPr>
      </w:pPr>
    </w:p>
    <w:p w14:paraId="39F757E0" w14:textId="645A2136" w:rsidR="00E82413" w:rsidRDefault="09424C7C" w:rsidP="09424C7C">
      <w:pPr>
        <w:spacing w:after="60"/>
        <w:jc w:val="both"/>
        <w:rPr>
          <w:rFonts w:ascii="Arial" w:eastAsia="Arial" w:hAnsi="Arial" w:cs="Arial"/>
          <w:b w:val="0"/>
          <w:sz w:val="22"/>
        </w:rPr>
      </w:pPr>
      <w:r w:rsidRPr="09424C7C">
        <w:rPr>
          <w:rFonts w:ascii="Arial" w:eastAsia="Arial" w:hAnsi="Arial" w:cs="Arial"/>
          <w:b w:val="0"/>
          <w:sz w:val="22"/>
        </w:rPr>
        <w:t>En conclusion, la carte d’achat est un moyen moderne et répandu d'exécution des marchés publics.</w:t>
      </w:r>
    </w:p>
    <w:p w14:paraId="2D810840" w14:textId="728B53B4" w:rsidR="000D1928" w:rsidRDefault="09424C7C" w:rsidP="09424C7C">
      <w:pPr>
        <w:spacing w:after="60"/>
        <w:jc w:val="both"/>
        <w:rPr>
          <w:rFonts w:ascii="Arial" w:eastAsia="Arial" w:hAnsi="Arial" w:cs="Arial"/>
          <w:b w:val="0"/>
          <w:sz w:val="22"/>
        </w:rPr>
      </w:pPr>
      <w:r w:rsidRPr="09424C7C">
        <w:rPr>
          <w:rFonts w:ascii="Arial" w:eastAsia="Arial" w:hAnsi="Arial" w:cs="Arial"/>
          <w:b w:val="0"/>
          <w:sz w:val="22"/>
        </w:rPr>
        <w:t>Son utilisation s'inscrit dans une démarche gagnant/gagnant qui permet à l'administration de simplifier et de rationaliser ses procédures, et offre au fournisseur une opportunité de développer son activité en toute sécurité.</w:t>
      </w:r>
      <w:bookmarkEnd w:id="0"/>
    </w:p>
    <w:p w14:paraId="6617120E" w14:textId="26F0C1B9" w:rsidR="00E629C9" w:rsidRPr="004F61DA" w:rsidRDefault="09424C7C" w:rsidP="09424C7C">
      <w:pPr>
        <w:spacing w:after="60"/>
        <w:jc w:val="both"/>
        <w:rPr>
          <w:rFonts w:ascii="Arial" w:eastAsia="Arial" w:hAnsi="Arial" w:cs="Arial"/>
          <w:b w:val="0"/>
          <w:sz w:val="22"/>
        </w:rPr>
      </w:pPr>
      <w:r w:rsidRPr="09424C7C">
        <w:rPr>
          <w:rFonts w:ascii="Arial" w:eastAsia="Arial" w:hAnsi="Arial" w:cs="Arial"/>
          <w:b w:val="0"/>
          <w:sz w:val="22"/>
        </w:rPr>
        <w:t xml:space="preserve">Pour tout renseignement, le responsable commercial et des relations fournisseurs pour la carte d’achat de niveau 3 est Vincent Garrigues (01 57 43 13 45 / 06 30 49 90 71 / </w:t>
      </w:r>
      <w:hyperlink r:id="rId13">
        <w:r w:rsidRPr="09424C7C">
          <w:rPr>
            <w:rStyle w:val="Lienhypertexte"/>
            <w:rFonts w:ascii="Arial" w:eastAsia="Arial" w:hAnsi="Arial" w:cs="Arial"/>
            <w:b w:val="0"/>
            <w:sz w:val="22"/>
          </w:rPr>
          <w:t>vincent.garrigues@bnpparibas.com</w:t>
        </w:r>
      </w:hyperlink>
      <w:r w:rsidRPr="09424C7C">
        <w:rPr>
          <w:rFonts w:ascii="Arial" w:eastAsia="Arial" w:hAnsi="Arial" w:cs="Arial"/>
          <w:b w:val="0"/>
          <w:sz w:val="22"/>
        </w:rPr>
        <w:t xml:space="preserve">). </w:t>
      </w:r>
    </w:p>
    <w:sectPr w:rsidR="00E629C9" w:rsidRPr="004F61DA">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01D74" w14:textId="77777777" w:rsidR="009E27AC" w:rsidRDefault="009E27AC">
      <w:r>
        <w:separator/>
      </w:r>
    </w:p>
  </w:endnote>
  <w:endnote w:type="continuationSeparator" w:id="0">
    <w:p w14:paraId="54F2DDFF" w14:textId="77777777" w:rsidR="009E27AC" w:rsidRDefault="009E2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altName w:val="Times New Roman"/>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08E97" w14:textId="77777777" w:rsidR="009E27AC" w:rsidRDefault="009E27AC">
      <w:r>
        <w:separator/>
      </w:r>
    </w:p>
  </w:footnote>
  <w:footnote w:type="continuationSeparator" w:id="0">
    <w:p w14:paraId="7128F83C" w14:textId="77777777" w:rsidR="009E27AC" w:rsidRDefault="009E2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38F80" w14:textId="77777777" w:rsidR="002665F6" w:rsidRPr="004B1013" w:rsidRDefault="09424C7C" w:rsidP="09424C7C">
    <w:pPr>
      <w:pStyle w:val="En-tte"/>
      <w:jc w:val="right"/>
      <w:rPr>
        <w:rFonts w:ascii="Arial" w:hAnsi="Arial" w:cs="Arial"/>
        <w:sz w:val="18"/>
        <w:szCs w:val="18"/>
      </w:rPr>
    </w:pPr>
    <w:r w:rsidRPr="004B1013">
      <w:rPr>
        <w:rFonts w:ascii="Arial" w:hAnsi="Arial" w:cs="Arial"/>
        <w:sz w:val="18"/>
        <w:szCs w:val="18"/>
      </w:rPr>
      <w:t>Annexe 3 au règlement de la consultation</w:t>
    </w:r>
  </w:p>
  <w:p w14:paraId="71051902" w14:textId="0E714CE4" w:rsidR="00425273" w:rsidRPr="004B1013" w:rsidRDefault="00E30347" w:rsidP="09424C7C">
    <w:pPr>
      <w:pStyle w:val="En-tte"/>
      <w:jc w:val="right"/>
      <w:rPr>
        <w:rFonts w:ascii="Arial" w:hAnsi="Arial" w:cs="Arial"/>
        <w:sz w:val="18"/>
        <w:szCs w:val="18"/>
      </w:rPr>
    </w:pPr>
    <w:r w:rsidRPr="004B1013">
      <w:rPr>
        <w:rFonts w:ascii="Arial" w:hAnsi="Arial" w:cs="Arial"/>
        <w:sz w:val="18"/>
        <w:szCs w:val="18"/>
      </w:rPr>
      <w:t xml:space="preserve">du </w:t>
    </w:r>
    <w:r w:rsidR="000A14D2">
      <w:rPr>
        <w:rFonts w:ascii="Arial" w:hAnsi="Arial" w:cs="Arial"/>
        <w:sz w:val="18"/>
        <w:szCs w:val="18"/>
      </w:rPr>
      <w:t>DAF_2025_000002</w:t>
    </w:r>
    <w:r w:rsidR="09424C7C" w:rsidRPr="004B1013">
      <w:rPr>
        <w:rFonts w:ascii="Arial" w:hAnsi="Arial" w:cs="Arial"/>
        <w:sz w:val="18"/>
        <w:szCs w:val="18"/>
      </w:rPr>
      <w:t xml:space="preserve"> - </w:t>
    </w:r>
    <w:r w:rsidR="09424C7C" w:rsidRPr="004B1013">
      <w:rPr>
        <w:rFonts w:ascii="Arial" w:eastAsia="Times New Roman" w:hAnsi="Arial" w:cs="Arial"/>
        <w:sz w:val="18"/>
        <w:szCs w:val="18"/>
        <w:lang w:eastAsia="fr-FR"/>
      </w:rPr>
      <w:t xml:space="preserve">Page 1 sur </w:t>
    </w:r>
    <w:r w:rsidR="008C2FA6" w:rsidRPr="004B1013">
      <w:rPr>
        <w:rFonts w:ascii="Arial" w:eastAsia="Times New Roman" w:hAnsi="Arial" w:cs="Arial"/>
        <w:noProof/>
        <w:sz w:val="18"/>
        <w:szCs w:val="18"/>
        <w:lang w:eastAsia="fr-FR"/>
      </w:rPr>
      <w:fldChar w:fldCharType="begin"/>
    </w:r>
    <w:r w:rsidR="008C2FA6" w:rsidRPr="004B1013">
      <w:rPr>
        <w:rFonts w:ascii="Arial" w:eastAsia="Times New Roman" w:hAnsi="Arial" w:cs="Arial"/>
        <w:noProof/>
        <w:sz w:val="18"/>
        <w:szCs w:val="18"/>
        <w:lang w:eastAsia="fr-FR"/>
      </w:rPr>
      <w:instrText xml:space="preserve"> SECTIONPAGES   \* MERGEFORMAT </w:instrText>
    </w:r>
    <w:r w:rsidR="008C2FA6" w:rsidRPr="004B1013">
      <w:rPr>
        <w:rFonts w:ascii="Arial" w:eastAsia="Times New Roman" w:hAnsi="Arial" w:cs="Arial"/>
        <w:noProof/>
        <w:sz w:val="18"/>
        <w:szCs w:val="18"/>
        <w:lang w:eastAsia="fr-FR"/>
      </w:rPr>
      <w:fldChar w:fldCharType="separate"/>
    </w:r>
    <w:r w:rsidR="000A14D2">
      <w:rPr>
        <w:rFonts w:ascii="Arial" w:eastAsia="Times New Roman" w:hAnsi="Arial" w:cs="Arial"/>
        <w:noProof/>
        <w:sz w:val="18"/>
        <w:szCs w:val="18"/>
        <w:lang w:eastAsia="fr-FR"/>
      </w:rPr>
      <w:t>2</w:t>
    </w:r>
    <w:r w:rsidR="008C2FA6" w:rsidRPr="004B1013">
      <w:rPr>
        <w:rFonts w:ascii="Arial" w:eastAsia="Times New Roman" w:hAnsi="Arial" w:cs="Arial"/>
        <w:noProof/>
        <w:sz w:val="18"/>
        <w:szCs w:val="18"/>
        <w:lang w:eastAsia="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D4BFE"/>
    <w:multiLevelType w:val="hybridMultilevel"/>
    <w:tmpl w:val="302098C0"/>
    <w:lvl w:ilvl="0" w:tplc="E018BE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7958C2"/>
    <w:multiLevelType w:val="hybridMultilevel"/>
    <w:tmpl w:val="AB7C4B0E"/>
    <w:lvl w:ilvl="0" w:tplc="E018BE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DA5B93"/>
    <w:multiLevelType w:val="hybridMultilevel"/>
    <w:tmpl w:val="B3962D42"/>
    <w:lvl w:ilvl="0" w:tplc="E018BE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95CCA"/>
    <w:multiLevelType w:val="hybridMultilevel"/>
    <w:tmpl w:val="C298FB36"/>
    <w:lvl w:ilvl="0" w:tplc="868ADC8E">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4570246E"/>
    <w:multiLevelType w:val="hybridMultilevel"/>
    <w:tmpl w:val="3CECA276"/>
    <w:lvl w:ilvl="0" w:tplc="E018BE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9E272D"/>
    <w:multiLevelType w:val="hybridMultilevel"/>
    <w:tmpl w:val="CA98B122"/>
    <w:lvl w:ilvl="0" w:tplc="E018BE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15A"/>
    <w:rsid w:val="000928D8"/>
    <w:rsid w:val="000A14D2"/>
    <w:rsid w:val="000D1928"/>
    <w:rsid w:val="000D1DAD"/>
    <w:rsid w:val="000E2C05"/>
    <w:rsid w:val="001254B8"/>
    <w:rsid w:val="00126AE0"/>
    <w:rsid w:val="00144C1F"/>
    <w:rsid w:val="00183B26"/>
    <w:rsid w:val="001C53B2"/>
    <w:rsid w:val="001D3F60"/>
    <w:rsid w:val="001E39C9"/>
    <w:rsid w:val="00263619"/>
    <w:rsid w:val="002665F6"/>
    <w:rsid w:val="002722B5"/>
    <w:rsid w:val="003033FA"/>
    <w:rsid w:val="00304D46"/>
    <w:rsid w:val="003B31D2"/>
    <w:rsid w:val="00425273"/>
    <w:rsid w:val="00432747"/>
    <w:rsid w:val="0047129C"/>
    <w:rsid w:val="004725C3"/>
    <w:rsid w:val="004B1013"/>
    <w:rsid w:val="004B4DED"/>
    <w:rsid w:val="004F4BC3"/>
    <w:rsid w:val="004F61DA"/>
    <w:rsid w:val="00537F96"/>
    <w:rsid w:val="00545F92"/>
    <w:rsid w:val="005D6616"/>
    <w:rsid w:val="006279D1"/>
    <w:rsid w:val="00637B6D"/>
    <w:rsid w:val="00672504"/>
    <w:rsid w:val="006E3FC0"/>
    <w:rsid w:val="006E60A8"/>
    <w:rsid w:val="006E6431"/>
    <w:rsid w:val="00734D3E"/>
    <w:rsid w:val="00782A07"/>
    <w:rsid w:val="007B60A6"/>
    <w:rsid w:val="007E1EC3"/>
    <w:rsid w:val="007E397C"/>
    <w:rsid w:val="007E6764"/>
    <w:rsid w:val="007F6474"/>
    <w:rsid w:val="00801517"/>
    <w:rsid w:val="008C2FA6"/>
    <w:rsid w:val="009404BC"/>
    <w:rsid w:val="0095315A"/>
    <w:rsid w:val="00974252"/>
    <w:rsid w:val="009D7370"/>
    <w:rsid w:val="009E27AC"/>
    <w:rsid w:val="00A1296F"/>
    <w:rsid w:val="00A921E7"/>
    <w:rsid w:val="00AE790E"/>
    <w:rsid w:val="00B1682E"/>
    <w:rsid w:val="00B72F26"/>
    <w:rsid w:val="00C05068"/>
    <w:rsid w:val="00D22F3B"/>
    <w:rsid w:val="00D30A0C"/>
    <w:rsid w:val="00D34C2B"/>
    <w:rsid w:val="00DB05A1"/>
    <w:rsid w:val="00E30347"/>
    <w:rsid w:val="00E629C9"/>
    <w:rsid w:val="00E82413"/>
    <w:rsid w:val="00EA3291"/>
    <w:rsid w:val="00EE3254"/>
    <w:rsid w:val="00EF14FA"/>
    <w:rsid w:val="00F220C7"/>
    <w:rsid w:val="00F24275"/>
    <w:rsid w:val="00F677A9"/>
    <w:rsid w:val="00F8287C"/>
    <w:rsid w:val="00F87E06"/>
    <w:rsid w:val="00FD5566"/>
    <w:rsid w:val="00FD79CE"/>
    <w:rsid w:val="00FE5888"/>
    <w:rsid w:val="09424C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5EB62"/>
  <w15:docId w15:val="{A9159A2E-0B4F-42B8-B6E1-9249A6005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fr-FR" w:eastAsia="fr-FR"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15A"/>
    <w:pPr>
      <w:widowControl/>
      <w:suppressAutoHyphens w:val="0"/>
      <w:autoSpaceDN/>
      <w:jc w:val="center"/>
      <w:textAlignment w:val="auto"/>
    </w:pPr>
    <w:rPr>
      <w:rFonts w:eastAsiaTheme="minorHAnsi" w:cstheme="minorBidi"/>
      <w:b/>
      <w:kern w:val="0"/>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95315A"/>
    <w:pPr>
      <w:widowControl/>
      <w:suppressAutoHyphens w:val="0"/>
      <w:autoSpaceDN/>
      <w:jc w:val="both"/>
      <w:textAlignment w:val="auto"/>
    </w:pPr>
    <w:rPr>
      <w:rFonts w:eastAsia="Times New Roman" w:cs="Times New Roman"/>
      <w:iCs/>
      <w:kern w:val="0"/>
      <w:sz w:val="22"/>
    </w:rPr>
  </w:style>
  <w:style w:type="paragraph" w:styleId="En-tte">
    <w:name w:val="header"/>
    <w:basedOn w:val="Normal"/>
    <w:link w:val="En-tteCar"/>
    <w:uiPriority w:val="99"/>
    <w:unhideWhenUsed/>
    <w:rsid w:val="0095315A"/>
    <w:pPr>
      <w:tabs>
        <w:tab w:val="center" w:pos="4536"/>
        <w:tab w:val="right" w:pos="9072"/>
      </w:tabs>
    </w:pPr>
  </w:style>
  <w:style w:type="character" w:customStyle="1" w:styleId="En-tteCar">
    <w:name w:val="En-tête Car"/>
    <w:basedOn w:val="Policepardfaut"/>
    <w:link w:val="En-tte"/>
    <w:uiPriority w:val="99"/>
    <w:rsid w:val="0095315A"/>
    <w:rPr>
      <w:rFonts w:eastAsiaTheme="minorHAnsi" w:cstheme="minorBidi"/>
      <w:b/>
      <w:kern w:val="0"/>
      <w:szCs w:val="22"/>
      <w:lang w:eastAsia="en-US"/>
    </w:rPr>
  </w:style>
  <w:style w:type="paragraph" w:styleId="Paragraphedeliste">
    <w:name w:val="List Paragraph"/>
    <w:basedOn w:val="Normal"/>
    <w:uiPriority w:val="34"/>
    <w:qFormat/>
    <w:rsid w:val="0095315A"/>
    <w:pPr>
      <w:ind w:left="720"/>
      <w:contextualSpacing/>
    </w:pPr>
  </w:style>
  <w:style w:type="paragraph" w:styleId="Commentaire">
    <w:name w:val="annotation text"/>
    <w:basedOn w:val="Normal"/>
    <w:link w:val="CommentaireCar"/>
    <w:uiPriority w:val="99"/>
    <w:semiHidden/>
    <w:unhideWhenUsed/>
    <w:rsid w:val="0095315A"/>
    <w:rPr>
      <w:rFonts w:eastAsia="Calibri" w:cs="Times New Roman"/>
      <w:sz w:val="20"/>
      <w:szCs w:val="20"/>
    </w:rPr>
  </w:style>
  <w:style w:type="character" w:customStyle="1" w:styleId="CommentaireCar">
    <w:name w:val="Commentaire Car"/>
    <w:basedOn w:val="Policepardfaut"/>
    <w:link w:val="Commentaire"/>
    <w:uiPriority w:val="99"/>
    <w:semiHidden/>
    <w:rsid w:val="0095315A"/>
    <w:rPr>
      <w:rFonts w:eastAsia="Calibri" w:cs="Times New Roman"/>
      <w:b/>
      <w:kern w:val="0"/>
      <w:sz w:val="20"/>
      <w:szCs w:val="20"/>
      <w:lang w:eastAsia="en-US"/>
    </w:rPr>
  </w:style>
  <w:style w:type="character" w:styleId="Marquedecommentaire">
    <w:name w:val="annotation reference"/>
    <w:uiPriority w:val="99"/>
    <w:semiHidden/>
    <w:rsid w:val="0095315A"/>
    <w:rPr>
      <w:sz w:val="16"/>
    </w:rPr>
  </w:style>
  <w:style w:type="paragraph" w:styleId="Textedebulles">
    <w:name w:val="Balloon Text"/>
    <w:basedOn w:val="Normal"/>
    <w:link w:val="TextedebullesCar"/>
    <w:uiPriority w:val="99"/>
    <w:semiHidden/>
    <w:unhideWhenUsed/>
    <w:rsid w:val="0095315A"/>
    <w:rPr>
      <w:rFonts w:ascii="Tahoma" w:hAnsi="Tahoma" w:cs="Tahoma"/>
      <w:sz w:val="16"/>
      <w:szCs w:val="16"/>
    </w:rPr>
  </w:style>
  <w:style w:type="character" w:customStyle="1" w:styleId="TextedebullesCar">
    <w:name w:val="Texte de bulles Car"/>
    <w:basedOn w:val="Policepardfaut"/>
    <w:link w:val="Textedebulles"/>
    <w:uiPriority w:val="99"/>
    <w:semiHidden/>
    <w:rsid w:val="0095315A"/>
    <w:rPr>
      <w:rFonts w:ascii="Tahoma" w:eastAsiaTheme="minorHAnsi" w:hAnsi="Tahoma"/>
      <w:b/>
      <w:kern w:val="0"/>
      <w:sz w:val="16"/>
      <w:szCs w:val="16"/>
      <w:lang w:eastAsia="en-US"/>
    </w:rPr>
  </w:style>
  <w:style w:type="character" w:styleId="Lienhypertexte">
    <w:name w:val="Hyperlink"/>
    <w:basedOn w:val="Policepardfaut"/>
    <w:uiPriority w:val="99"/>
    <w:unhideWhenUsed/>
    <w:rsid w:val="00FE5888"/>
    <w:rPr>
      <w:color w:val="0000FF" w:themeColor="hyperlink"/>
      <w:u w:val="single"/>
    </w:rPr>
  </w:style>
  <w:style w:type="table" w:styleId="Grilledutableau">
    <w:name w:val="Table Grid"/>
    <w:basedOn w:val="TableauNormal"/>
    <w:uiPriority w:val="59"/>
    <w:rsid w:val="004327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801517"/>
    <w:pPr>
      <w:tabs>
        <w:tab w:val="center" w:pos="4536"/>
        <w:tab w:val="right" w:pos="9072"/>
      </w:tabs>
    </w:pPr>
  </w:style>
  <w:style w:type="character" w:customStyle="1" w:styleId="PieddepageCar">
    <w:name w:val="Pied de page Car"/>
    <w:basedOn w:val="Policepardfaut"/>
    <w:link w:val="Pieddepage"/>
    <w:uiPriority w:val="99"/>
    <w:rsid w:val="00801517"/>
    <w:rPr>
      <w:rFonts w:eastAsiaTheme="minorHAnsi" w:cstheme="minorBidi"/>
      <w:b/>
      <w:kern w:val="0"/>
      <w:szCs w:val="22"/>
      <w:lang w:eastAsia="en-US"/>
    </w:rPr>
  </w:style>
  <w:style w:type="paragraph" w:styleId="Objetducommentaire">
    <w:name w:val="annotation subject"/>
    <w:basedOn w:val="Commentaire"/>
    <w:next w:val="Commentaire"/>
    <w:link w:val="ObjetducommentaireCar"/>
    <w:uiPriority w:val="99"/>
    <w:semiHidden/>
    <w:unhideWhenUsed/>
    <w:rsid w:val="001254B8"/>
    <w:rPr>
      <w:rFonts w:eastAsiaTheme="minorHAnsi" w:cstheme="minorBidi"/>
      <w:bCs/>
    </w:rPr>
  </w:style>
  <w:style w:type="character" w:customStyle="1" w:styleId="ObjetducommentaireCar">
    <w:name w:val="Objet du commentaire Car"/>
    <w:basedOn w:val="CommentaireCar"/>
    <w:link w:val="Objetducommentaire"/>
    <w:uiPriority w:val="99"/>
    <w:semiHidden/>
    <w:rsid w:val="001254B8"/>
    <w:rPr>
      <w:rFonts w:eastAsiaTheme="minorHAnsi" w:cstheme="minorBidi"/>
      <w:b/>
      <w:bCs/>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incent.garrigues@bnppariba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enico.com/fr/epayments/partenair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ssistance.carteachat@bnppariba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6157C-4489-40A5-A0A0-7D25F7EDD9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C26FE2-10FC-462D-96B8-935B83898E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92E41F-230E-42DE-AC23-CB6072065430}">
  <ds:schemaRefs>
    <ds:schemaRef ds:uri="http://schemas.microsoft.com/sharepoint/v3/contenttype/forms"/>
  </ds:schemaRefs>
</ds:datastoreItem>
</file>

<file path=customXml/itemProps4.xml><?xml version="1.0" encoding="utf-8"?>
<ds:datastoreItem xmlns:ds="http://schemas.openxmlformats.org/officeDocument/2006/customXml" ds:itemID="{2D29AC9D-A2D3-4C16-AC69-E89994511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740</Words>
  <Characters>4070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 Anne ATTACHE ADM. ETAT</dc:creator>
  <cp:lastModifiedBy>CAPRIO Anthony-Francois SA CN MINDEF</cp:lastModifiedBy>
  <cp:revision>6</cp:revision>
  <cp:lastPrinted>2021-08-19T10:15:00Z</cp:lastPrinted>
  <dcterms:created xsi:type="dcterms:W3CDTF">2024-07-26T08:03:00Z</dcterms:created>
  <dcterms:modified xsi:type="dcterms:W3CDTF">2025-05-21T14:35:00Z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